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A2" w:rsidRDefault="00440A5C" w:rsidP="00440A5C">
      <w:pPr>
        <w:jc w:val="center"/>
      </w:pPr>
      <w:r w:rsidRPr="00440A5C">
        <w:rPr>
          <w:noProof/>
        </w:rPr>
        <w:drawing>
          <wp:inline distT="0" distB="0" distL="0" distR="0">
            <wp:extent cx="5238750" cy="829469"/>
            <wp:effectExtent l="19050" t="0" r="0" b="0"/>
            <wp:docPr id="5" name="Picture 5" descr="http://www.screenplaymastery.com/Charts/st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reenplaymastery.com/Charts/stag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45" cy="82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5C" w:rsidRDefault="00440A5C" w:rsidP="00440A5C">
      <w:pPr>
        <w:jc w:val="center"/>
        <w:rPr>
          <w:sz w:val="48"/>
          <w:szCs w:val="48"/>
        </w:rPr>
      </w:pPr>
      <w:r w:rsidRPr="00440A5C">
        <w:rPr>
          <w:sz w:val="48"/>
          <w:szCs w:val="48"/>
        </w:rPr>
        <w:t xml:space="preserve">Erin </w:t>
      </w:r>
      <w:proofErr w:type="spellStart"/>
      <w:r w:rsidRPr="00440A5C">
        <w:rPr>
          <w:sz w:val="48"/>
          <w:szCs w:val="48"/>
        </w:rPr>
        <w:t>Brockovich</w:t>
      </w:r>
      <w:proofErr w:type="spellEnd"/>
      <w:r w:rsidRPr="00440A5C">
        <w:rPr>
          <w:sz w:val="48"/>
          <w:szCs w:val="48"/>
        </w:rPr>
        <w:t xml:space="preserve"> (2000)</w:t>
      </w:r>
    </w:p>
    <w:p w:rsidR="00631D34" w:rsidRPr="00440A5C" w:rsidRDefault="00631D34" w:rsidP="00440A5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475015" cy="2185704"/>
            <wp:effectExtent l="19050" t="0" r="0" b="0"/>
            <wp:docPr id="1" name="Picture 0" descr="erinbrock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nbrockpos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500" cy="218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C" w:rsidRPr="00440A5C" w:rsidRDefault="00440A5C" w:rsidP="00440A5C">
      <w:pPr>
        <w:jc w:val="center"/>
        <w:rPr>
          <w:color w:val="FFFFFF" w:themeColor="background1"/>
          <w:sz w:val="24"/>
          <w:szCs w:val="24"/>
        </w:rPr>
      </w:pPr>
      <w:r w:rsidRPr="00440A5C">
        <w:rPr>
          <w:rStyle w:val="Strong"/>
          <w:rFonts w:ascii="Tahoma" w:hAnsi="Tahoma" w:cs="Tahoma"/>
          <w:color w:val="626262"/>
          <w:sz w:val="24"/>
          <w:szCs w:val="24"/>
        </w:rPr>
        <w:t>Director:</w:t>
      </w:r>
      <w:r w:rsidRPr="00440A5C">
        <w:rPr>
          <w:rFonts w:ascii="Tahoma" w:hAnsi="Tahoma" w:cs="Tahoma"/>
          <w:color w:val="626262"/>
          <w:sz w:val="24"/>
          <w:szCs w:val="24"/>
        </w:rPr>
        <w:t xml:space="preserve"> Steven </w:t>
      </w:r>
      <w:proofErr w:type="spellStart"/>
      <w:r w:rsidRPr="00440A5C">
        <w:rPr>
          <w:rFonts w:ascii="Tahoma" w:hAnsi="Tahoma" w:cs="Tahoma"/>
          <w:color w:val="626262"/>
          <w:sz w:val="24"/>
          <w:szCs w:val="24"/>
        </w:rPr>
        <w:t>Soderbergh</w:t>
      </w:r>
      <w:proofErr w:type="spellEnd"/>
      <w:r w:rsidRPr="00440A5C">
        <w:rPr>
          <w:rFonts w:ascii="Tahoma" w:hAnsi="Tahoma" w:cs="Tahoma"/>
          <w:color w:val="626262"/>
          <w:sz w:val="24"/>
          <w:szCs w:val="24"/>
        </w:rPr>
        <w:br/>
      </w:r>
      <w:r w:rsidRPr="00440A5C">
        <w:rPr>
          <w:rStyle w:val="Strong"/>
          <w:rFonts w:ascii="Tahoma" w:hAnsi="Tahoma" w:cs="Tahoma"/>
          <w:color w:val="626262"/>
          <w:sz w:val="24"/>
          <w:szCs w:val="24"/>
        </w:rPr>
        <w:t>Writer:</w:t>
      </w:r>
      <w:r w:rsidRPr="00440A5C">
        <w:rPr>
          <w:rFonts w:ascii="Tahoma" w:hAnsi="Tahoma" w:cs="Tahoma"/>
          <w:color w:val="626262"/>
          <w:sz w:val="24"/>
          <w:szCs w:val="24"/>
        </w:rPr>
        <w:t xml:space="preserve"> Susannah Grant</w:t>
      </w:r>
      <w:r w:rsidRPr="00440A5C">
        <w:rPr>
          <w:rFonts w:ascii="Tahoma" w:hAnsi="Tahoma" w:cs="Tahoma"/>
          <w:color w:val="626262"/>
          <w:sz w:val="24"/>
          <w:szCs w:val="24"/>
        </w:rPr>
        <w:br/>
      </w:r>
      <w:r w:rsidRPr="00440A5C">
        <w:rPr>
          <w:rFonts w:ascii="Tahoma" w:hAnsi="Tahoma" w:cs="Tahoma"/>
          <w:color w:val="626262"/>
          <w:sz w:val="24"/>
          <w:szCs w:val="24"/>
        </w:rPr>
        <w:br/>
      </w:r>
      <w:r w:rsidRPr="00440A5C">
        <w:rPr>
          <w:rStyle w:val="Strong"/>
          <w:rFonts w:ascii="Tahoma" w:hAnsi="Tahoma" w:cs="Tahoma"/>
          <w:color w:val="626262"/>
          <w:sz w:val="24"/>
          <w:szCs w:val="24"/>
          <w:u w:val="single"/>
        </w:rPr>
        <w:t>Cast</w:t>
      </w:r>
      <w:r w:rsidRPr="00440A5C">
        <w:rPr>
          <w:rFonts w:ascii="Tahoma" w:hAnsi="Tahoma" w:cs="Tahoma"/>
          <w:b/>
          <w:bCs/>
          <w:color w:val="626262"/>
          <w:sz w:val="24"/>
          <w:szCs w:val="24"/>
          <w:u w:val="single"/>
        </w:rPr>
        <w:br/>
      </w:r>
      <w:r w:rsidRPr="00440A5C">
        <w:rPr>
          <w:rFonts w:ascii="Tahoma" w:hAnsi="Tahoma" w:cs="Tahoma"/>
          <w:color w:val="626262"/>
          <w:sz w:val="24"/>
          <w:szCs w:val="24"/>
        </w:rPr>
        <w:t xml:space="preserve">Julia Roberts (Erin </w:t>
      </w:r>
      <w:proofErr w:type="spellStart"/>
      <w:r w:rsidRPr="00440A5C">
        <w:rPr>
          <w:rFonts w:ascii="Tahoma" w:hAnsi="Tahoma" w:cs="Tahoma"/>
          <w:color w:val="626262"/>
          <w:sz w:val="24"/>
          <w:szCs w:val="24"/>
        </w:rPr>
        <w:t>Brockovich</w:t>
      </w:r>
      <w:proofErr w:type="spellEnd"/>
      <w:proofErr w:type="gramStart"/>
      <w:r w:rsidRPr="00440A5C">
        <w:rPr>
          <w:rFonts w:ascii="Tahoma" w:hAnsi="Tahoma" w:cs="Tahoma"/>
          <w:color w:val="626262"/>
          <w:sz w:val="24"/>
          <w:szCs w:val="24"/>
        </w:rPr>
        <w:t>)</w:t>
      </w:r>
      <w:proofErr w:type="gramEnd"/>
      <w:r w:rsidRPr="00440A5C">
        <w:rPr>
          <w:rFonts w:ascii="Tahoma" w:hAnsi="Tahoma" w:cs="Tahoma"/>
          <w:color w:val="626262"/>
          <w:sz w:val="24"/>
          <w:szCs w:val="24"/>
        </w:rPr>
        <w:br/>
        <w:t xml:space="preserve">Albert Finney (Ed </w:t>
      </w:r>
      <w:proofErr w:type="spellStart"/>
      <w:r w:rsidRPr="00440A5C">
        <w:rPr>
          <w:rFonts w:ascii="Tahoma" w:hAnsi="Tahoma" w:cs="Tahoma"/>
          <w:color w:val="626262"/>
          <w:sz w:val="24"/>
          <w:szCs w:val="24"/>
        </w:rPr>
        <w:t>Masry</w:t>
      </w:r>
      <w:proofErr w:type="spellEnd"/>
      <w:r w:rsidRPr="00440A5C">
        <w:rPr>
          <w:rFonts w:ascii="Tahoma" w:hAnsi="Tahoma" w:cs="Tahoma"/>
          <w:color w:val="626262"/>
          <w:sz w:val="24"/>
          <w:szCs w:val="24"/>
        </w:rPr>
        <w:t>)</w:t>
      </w:r>
      <w:r w:rsidRPr="00440A5C">
        <w:rPr>
          <w:rFonts w:ascii="Tahoma" w:hAnsi="Tahoma" w:cs="Tahoma"/>
          <w:color w:val="626262"/>
          <w:sz w:val="24"/>
          <w:szCs w:val="24"/>
        </w:rPr>
        <w:br/>
        <w:t>Aaron Eckhart (George)</w:t>
      </w:r>
      <w:r w:rsidRPr="00440A5C">
        <w:rPr>
          <w:rFonts w:ascii="Tahoma" w:hAnsi="Tahoma" w:cs="Tahoma"/>
          <w:color w:val="626262"/>
          <w:sz w:val="24"/>
          <w:szCs w:val="24"/>
        </w:rPr>
        <w:br/>
      </w:r>
      <w:proofErr w:type="spellStart"/>
      <w:r w:rsidRPr="00440A5C">
        <w:rPr>
          <w:rFonts w:ascii="Tahoma" w:hAnsi="Tahoma" w:cs="Tahoma"/>
          <w:color w:val="626262"/>
          <w:sz w:val="24"/>
          <w:szCs w:val="24"/>
        </w:rPr>
        <w:t>Conchata</w:t>
      </w:r>
      <w:proofErr w:type="spellEnd"/>
      <w:r w:rsidRPr="00440A5C">
        <w:rPr>
          <w:rFonts w:ascii="Tahoma" w:hAnsi="Tahoma" w:cs="Tahoma"/>
          <w:color w:val="626262"/>
          <w:sz w:val="24"/>
          <w:szCs w:val="24"/>
        </w:rPr>
        <w:t xml:space="preserve"> </w:t>
      </w:r>
      <w:proofErr w:type="spellStart"/>
      <w:r w:rsidRPr="00440A5C">
        <w:rPr>
          <w:rFonts w:ascii="Tahoma" w:hAnsi="Tahoma" w:cs="Tahoma"/>
          <w:color w:val="626262"/>
          <w:sz w:val="24"/>
          <w:szCs w:val="24"/>
        </w:rPr>
        <w:t>Ferrel</w:t>
      </w:r>
      <w:proofErr w:type="spellEnd"/>
      <w:r w:rsidRPr="00440A5C">
        <w:rPr>
          <w:rFonts w:ascii="Tahoma" w:hAnsi="Tahoma" w:cs="Tahoma"/>
          <w:color w:val="626262"/>
          <w:sz w:val="24"/>
          <w:szCs w:val="24"/>
        </w:rPr>
        <w:t xml:space="preserve"> (Brenda)</w:t>
      </w:r>
      <w:r w:rsidRPr="00440A5C">
        <w:rPr>
          <w:rFonts w:ascii="Tahoma" w:hAnsi="Tahoma" w:cs="Tahoma"/>
          <w:color w:val="626262"/>
          <w:sz w:val="24"/>
          <w:szCs w:val="24"/>
        </w:rPr>
        <w:br/>
      </w:r>
      <w:r w:rsidRPr="00440A5C">
        <w:rPr>
          <w:rFonts w:ascii="Tahoma" w:hAnsi="Tahoma" w:cs="Tahoma"/>
          <w:color w:val="626262"/>
          <w:sz w:val="24"/>
          <w:szCs w:val="24"/>
        </w:rPr>
        <w:br/>
      </w:r>
      <w:r w:rsidRPr="00440A5C">
        <w:rPr>
          <w:rStyle w:val="Strong"/>
          <w:rFonts w:ascii="Tahoma" w:hAnsi="Tahoma" w:cs="Tahoma"/>
          <w:color w:val="626262"/>
          <w:sz w:val="24"/>
          <w:szCs w:val="24"/>
        </w:rPr>
        <w:t>Synopsis:</w:t>
      </w:r>
      <w:r w:rsidRPr="00440A5C">
        <w:rPr>
          <w:rFonts w:ascii="Tahoma" w:hAnsi="Tahoma" w:cs="Tahoma"/>
          <w:color w:val="626262"/>
          <w:sz w:val="24"/>
          <w:szCs w:val="24"/>
        </w:rPr>
        <w:t xml:space="preserve"> A down and out single mother of three literally forces her way into working for the law offices of Ed </w:t>
      </w:r>
      <w:proofErr w:type="spellStart"/>
      <w:r w:rsidRPr="00440A5C">
        <w:rPr>
          <w:rFonts w:ascii="Tahoma" w:hAnsi="Tahoma" w:cs="Tahoma"/>
          <w:color w:val="626262"/>
          <w:sz w:val="24"/>
          <w:szCs w:val="24"/>
        </w:rPr>
        <w:t>Masry</w:t>
      </w:r>
      <w:proofErr w:type="spellEnd"/>
      <w:r w:rsidRPr="00440A5C">
        <w:rPr>
          <w:rFonts w:ascii="Tahoma" w:hAnsi="Tahoma" w:cs="Tahoma"/>
          <w:color w:val="626262"/>
          <w:sz w:val="24"/>
          <w:szCs w:val="24"/>
        </w:rPr>
        <w:t xml:space="preserve">.  Sharp, sassy, street smart and highly intuitive, Erin </w:t>
      </w:r>
      <w:proofErr w:type="spellStart"/>
      <w:r w:rsidRPr="00440A5C">
        <w:rPr>
          <w:rFonts w:ascii="Tahoma" w:hAnsi="Tahoma" w:cs="Tahoma"/>
          <w:color w:val="626262"/>
          <w:sz w:val="24"/>
          <w:szCs w:val="24"/>
        </w:rPr>
        <w:t>Brockovich</w:t>
      </w:r>
      <w:proofErr w:type="spellEnd"/>
      <w:r w:rsidRPr="00440A5C">
        <w:rPr>
          <w:rFonts w:ascii="Tahoma" w:hAnsi="Tahoma" w:cs="Tahoma"/>
          <w:color w:val="626262"/>
          <w:sz w:val="24"/>
          <w:szCs w:val="24"/>
        </w:rPr>
        <w:t xml:space="preserve"> stumbles upon a highly explosive situation that leads to a multi-million dollar lawsuit against a powerful corporate entity.  Roberts won a highly-deserved Oscar for her career defining turn as the sharp-tongued </w:t>
      </w:r>
      <w:proofErr w:type="spellStart"/>
      <w:r w:rsidRPr="00440A5C">
        <w:rPr>
          <w:rFonts w:ascii="Tahoma" w:hAnsi="Tahoma" w:cs="Tahoma"/>
          <w:color w:val="626262"/>
          <w:sz w:val="24"/>
          <w:szCs w:val="24"/>
        </w:rPr>
        <w:t>Brockovich</w:t>
      </w:r>
      <w:proofErr w:type="spellEnd"/>
      <w:r w:rsidRPr="00440A5C">
        <w:rPr>
          <w:rFonts w:ascii="Tahoma" w:hAnsi="Tahoma" w:cs="Tahoma"/>
          <w:color w:val="626262"/>
          <w:sz w:val="24"/>
          <w:szCs w:val="24"/>
        </w:rPr>
        <w:t>.</w:t>
      </w:r>
      <w:r w:rsidRPr="00440A5C">
        <w:rPr>
          <w:rFonts w:ascii="Tahoma" w:hAnsi="Tahoma" w:cs="Tahoma"/>
          <w:color w:val="626262"/>
          <w:sz w:val="24"/>
          <w:szCs w:val="24"/>
        </w:rPr>
        <w:br/>
      </w:r>
      <w:r w:rsidRPr="00440A5C">
        <w:rPr>
          <w:rFonts w:ascii="Tahoma" w:hAnsi="Tahoma" w:cs="Tahoma"/>
          <w:color w:val="626262"/>
          <w:sz w:val="24"/>
          <w:szCs w:val="24"/>
        </w:rPr>
        <w:br/>
      </w:r>
      <w:r w:rsidRPr="00440A5C">
        <w:rPr>
          <w:rStyle w:val="Strong"/>
          <w:rFonts w:ascii="Tahoma" w:hAnsi="Tahoma" w:cs="Tahoma"/>
          <w:color w:val="626262"/>
          <w:sz w:val="24"/>
          <w:szCs w:val="24"/>
        </w:rPr>
        <w:t>Class focus:</w:t>
      </w:r>
      <w:r w:rsidRPr="00440A5C">
        <w:rPr>
          <w:rFonts w:ascii="Tahoma" w:hAnsi="Tahoma" w:cs="Tahoma"/>
          <w:color w:val="626262"/>
          <w:sz w:val="24"/>
          <w:szCs w:val="24"/>
        </w:rPr>
        <w:t xml:space="preserve"> Although the film is dominated by the development of titular character, the characters Ed </w:t>
      </w:r>
      <w:proofErr w:type="spellStart"/>
      <w:r w:rsidRPr="00440A5C">
        <w:rPr>
          <w:rFonts w:ascii="Tahoma" w:hAnsi="Tahoma" w:cs="Tahoma"/>
          <w:color w:val="626262"/>
          <w:sz w:val="24"/>
          <w:szCs w:val="24"/>
        </w:rPr>
        <w:t>Masry</w:t>
      </w:r>
      <w:proofErr w:type="spellEnd"/>
      <w:r>
        <w:rPr>
          <w:rFonts w:ascii="Tahoma" w:hAnsi="Tahoma" w:cs="Tahoma"/>
          <w:color w:val="626262"/>
          <w:sz w:val="24"/>
          <w:szCs w:val="24"/>
        </w:rPr>
        <w:t xml:space="preserve"> and </w:t>
      </w:r>
      <w:r w:rsidRPr="00440A5C">
        <w:rPr>
          <w:rFonts w:ascii="Tahoma" w:hAnsi="Tahoma" w:cs="Tahoma"/>
          <w:color w:val="626262"/>
          <w:sz w:val="24"/>
          <w:szCs w:val="24"/>
        </w:rPr>
        <w:t xml:space="preserve">George each undergo changes throughout the film.  The film analysis class will examine the events and actions that </w:t>
      </w:r>
      <w:r>
        <w:rPr>
          <w:rFonts w:ascii="Tahoma" w:hAnsi="Tahoma" w:cs="Tahoma"/>
          <w:color w:val="626262"/>
          <w:sz w:val="24"/>
          <w:szCs w:val="24"/>
        </w:rPr>
        <w:t xml:space="preserve">complicate and </w:t>
      </w:r>
      <w:r w:rsidRPr="00440A5C">
        <w:rPr>
          <w:rFonts w:ascii="Tahoma" w:hAnsi="Tahoma" w:cs="Tahoma"/>
          <w:color w:val="626262"/>
          <w:sz w:val="24"/>
          <w:szCs w:val="24"/>
        </w:rPr>
        <w:t>change the lives and characters throughout the film.</w:t>
      </w:r>
    </w:p>
    <w:p w:rsidR="00440A5C" w:rsidRPr="00963919" w:rsidRDefault="00963919" w:rsidP="00963919">
      <w:pPr>
        <w:jc w:val="center"/>
        <w:rPr>
          <w:b/>
          <w:sz w:val="28"/>
          <w:szCs w:val="28"/>
        </w:rPr>
      </w:pPr>
      <w:r w:rsidRPr="00963919">
        <w:rPr>
          <w:b/>
          <w:sz w:val="28"/>
          <w:szCs w:val="28"/>
        </w:rPr>
        <w:lastRenderedPageBreak/>
        <w:t>Screenplay Structure/Character Arc Chart</w:t>
      </w:r>
    </w:p>
    <w:p w:rsidR="00963919" w:rsidRDefault="00963919" w:rsidP="00440A5C">
      <w:r w:rsidRPr="00963919">
        <w:rPr>
          <w:b/>
        </w:rPr>
        <w:t>Directions:</w:t>
      </w:r>
      <w:r>
        <w:t xml:space="preserve"> Fill in the chart detailing the changing arc of the plot and conflict, as well as the changes in the characters, especially at the end.  Admittedly Erin </w:t>
      </w:r>
      <w:proofErr w:type="spellStart"/>
      <w:r>
        <w:t>Brockovich</w:t>
      </w:r>
      <w:proofErr w:type="spellEnd"/>
      <w:r>
        <w:t xml:space="preserve"> goes through the greatest story/character arc.</w:t>
      </w:r>
    </w:p>
    <w:tbl>
      <w:tblPr>
        <w:tblStyle w:val="TableGrid"/>
        <w:tblW w:w="0" w:type="auto"/>
        <w:tblLook w:val="04A0"/>
      </w:tblPr>
      <w:tblGrid>
        <w:gridCol w:w="1818"/>
        <w:gridCol w:w="3879"/>
        <w:gridCol w:w="3879"/>
      </w:tblGrid>
      <w:tr w:rsidR="00963919" w:rsidTr="009F2365">
        <w:trPr>
          <w:trHeight w:val="494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63919" w:rsidRDefault="00963919" w:rsidP="00963919">
            <w:pPr>
              <w:jc w:val="center"/>
            </w:pPr>
            <w:r>
              <w:t>Characters</w:t>
            </w:r>
          </w:p>
        </w:tc>
        <w:tc>
          <w:tcPr>
            <w:tcW w:w="3879" w:type="dxa"/>
            <w:shd w:val="clear" w:color="auto" w:fill="D9D9D9" w:themeFill="background1" w:themeFillShade="D9"/>
            <w:vAlign w:val="center"/>
          </w:tcPr>
          <w:p w:rsidR="00963919" w:rsidRDefault="00963919" w:rsidP="00963919">
            <w:pPr>
              <w:jc w:val="center"/>
            </w:pPr>
            <w:r>
              <w:t xml:space="preserve">Erin </w:t>
            </w:r>
            <w:proofErr w:type="spellStart"/>
            <w:r>
              <w:t>Brockovich</w:t>
            </w:r>
            <w:proofErr w:type="spellEnd"/>
            <w:r>
              <w:t xml:space="preserve"> (Julia Roberts)</w:t>
            </w:r>
          </w:p>
        </w:tc>
        <w:tc>
          <w:tcPr>
            <w:tcW w:w="3879" w:type="dxa"/>
            <w:shd w:val="clear" w:color="auto" w:fill="D9D9D9" w:themeFill="background1" w:themeFillShade="D9"/>
            <w:vAlign w:val="center"/>
          </w:tcPr>
          <w:p w:rsidR="00963919" w:rsidRDefault="00963919" w:rsidP="00963919">
            <w:pPr>
              <w:jc w:val="center"/>
            </w:pPr>
            <w:r>
              <w:t xml:space="preserve">Ed </w:t>
            </w:r>
            <w:proofErr w:type="spellStart"/>
            <w:r>
              <w:t>Masry</w:t>
            </w:r>
            <w:proofErr w:type="spellEnd"/>
            <w:r>
              <w:t xml:space="preserve"> (Albert Finney)</w:t>
            </w:r>
          </w:p>
        </w:tc>
      </w:tr>
      <w:tr w:rsidR="00963919" w:rsidTr="009F2365">
        <w:trPr>
          <w:trHeight w:val="3394"/>
        </w:trPr>
        <w:tc>
          <w:tcPr>
            <w:tcW w:w="1818" w:type="dxa"/>
            <w:shd w:val="clear" w:color="auto" w:fill="D9D9D9" w:themeFill="background1" w:themeFillShade="D9"/>
          </w:tcPr>
          <w:p w:rsidR="00963919" w:rsidRPr="00963919" w:rsidRDefault="00963919" w:rsidP="00963919">
            <w:pPr>
              <w:jc w:val="center"/>
              <w:rPr>
                <w:b/>
              </w:rPr>
            </w:pPr>
            <w:r w:rsidRPr="00963919">
              <w:rPr>
                <w:b/>
              </w:rPr>
              <w:t>Act I</w:t>
            </w:r>
          </w:p>
          <w:p w:rsidR="00963919" w:rsidRDefault="00963919" w:rsidP="00440A5C"/>
          <w:p w:rsidR="009F2365" w:rsidRDefault="009F2365" w:rsidP="00440A5C"/>
          <w:p w:rsidR="00963919" w:rsidRDefault="00963919" w:rsidP="00963919">
            <w:pPr>
              <w:rPr>
                <w:sz w:val="16"/>
                <w:szCs w:val="16"/>
              </w:rPr>
            </w:pPr>
            <w:r w:rsidRPr="00963919">
              <w:rPr>
                <w:sz w:val="16"/>
                <w:szCs w:val="16"/>
              </w:rPr>
              <w:t>Stage 1-The setup</w:t>
            </w:r>
          </w:p>
          <w:p w:rsidR="00963919" w:rsidRDefault="00963919" w:rsidP="00963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 2-New Situation</w:t>
            </w:r>
          </w:p>
          <w:p w:rsidR="00963919" w:rsidRDefault="00963919" w:rsidP="00963919">
            <w:pPr>
              <w:rPr>
                <w:sz w:val="16"/>
                <w:szCs w:val="16"/>
              </w:rPr>
            </w:pPr>
          </w:p>
          <w:p w:rsidR="00963919" w:rsidRDefault="00963919" w:rsidP="00963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Point #1-Opportunity</w:t>
            </w:r>
          </w:p>
          <w:p w:rsidR="00963919" w:rsidRPr="00963919" w:rsidRDefault="00963919" w:rsidP="00963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 #2-Change in Plans</w:t>
            </w:r>
          </w:p>
        </w:tc>
        <w:tc>
          <w:tcPr>
            <w:tcW w:w="3879" w:type="dxa"/>
          </w:tcPr>
          <w:p w:rsidR="00963919" w:rsidRDefault="00963919" w:rsidP="00440A5C"/>
        </w:tc>
        <w:tc>
          <w:tcPr>
            <w:tcW w:w="3879" w:type="dxa"/>
          </w:tcPr>
          <w:p w:rsidR="00963919" w:rsidRDefault="00963919" w:rsidP="00440A5C"/>
        </w:tc>
      </w:tr>
      <w:tr w:rsidR="00963919" w:rsidTr="009F2365">
        <w:trPr>
          <w:trHeight w:val="3394"/>
        </w:trPr>
        <w:tc>
          <w:tcPr>
            <w:tcW w:w="1818" w:type="dxa"/>
            <w:shd w:val="clear" w:color="auto" w:fill="D9D9D9" w:themeFill="background1" w:themeFillShade="D9"/>
          </w:tcPr>
          <w:p w:rsidR="00963919" w:rsidRPr="009F2365" w:rsidRDefault="009F2365" w:rsidP="009F2365">
            <w:pPr>
              <w:jc w:val="center"/>
              <w:rPr>
                <w:b/>
              </w:rPr>
            </w:pPr>
            <w:r w:rsidRPr="009F2365">
              <w:rPr>
                <w:b/>
              </w:rPr>
              <w:t>Act II</w:t>
            </w:r>
          </w:p>
          <w:p w:rsidR="009F2365" w:rsidRDefault="009F2365" w:rsidP="00440A5C"/>
          <w:p w:rsidR="009F2365" w:rsidRDefault="009F2365" w:rsidP="00440A5C"/>
          <w:p w:rsidR="009F2365" w:rsidRPr="009F2365" w:rsidRDefault="009F2365" w:rsidP="00440A5C">
            <w:pPr>
              <w:rPr>
                <w:sz w:val="16"/>
                <w:szCs w:val="16"/>
              </w:rPr>
            </w:pPr>
            <w:r w:rsidRPr="009F2365">
              <w:rPr>
                <w:sz w:val="16"/>
                <w:szCs w:val="16"/>
              </w:rPr>
              <w:t>Stage 3-Progress</w:t>
            </w:r>
          </w:p>
          <w:p w:rsidR="009F2365" w:rsidRPr="009F2365" w:rsidRDefault="009F2365" w:rsidP="00440A5C">
            <w:pPr>
              <w:rPr>
                <w:sz w:val="16"/>
                <w:szCs w:val="16"/>
              </w:rPr>
            </w:pPr>
            <w:r w:rsidRPr="009F2365">
              <w:rPr>
                <w:sz w:val="16"/>
                <w:szCs w:val="16"/>
              </w:rPr>
              <w:t>Stage 4-Complications &amp; Higher Stakes</w:t>
            </w:r>
          </w:p>
          <w:p w:rsidR="009F2365" w:rsidRPr="009F2365" w:rsidRDefault="009F2365" w:rsidP="00440A5C">
            <w:pPr>
              <w:rPr>
                <w:sz w:val="16"/>
                <w:szCs w:val="16"/>
              </w:rPr>
            </w:pPr>
          </w:p>
          <w:p w:rsidR="009F2365" w:rsidRPr="009F2365" w:rsidRDefault="009F2365" w:rsidP="00440A5C">
            <w:pPr>
              <w:rPr>
                <w:sz w:val="16"/>
                <w:szCs w:val="16"/>
              </w:rPr>
            </w:pPr>
            <w:r w:rsidRPr="009F2365">
              <w:rPr>
                <w:sz w:val="16"/>
                <w:szCs w:val="16"/>
              </w:rPr>
              <w:t>TP #3-Point of no return</w:t>
            </w:r>
          </w:p>
          <w:p w:rsidR="009F2365" w:rsidRDefault="009F2365" w:rsidP="00440A5C">
            <w:r w:rsidRPr="009F2365">
              <w:rPr>
                <w:sz w:val="16"/>
                <w:szCs w:val="16"/>
              </w:rPr>
              <w:t>TP #4-Major setback</w:t>
            </w:r>
          </w:p>
        </w:tc>
        <w:tc>
          <w:tcPr>
            <w:tcW w:w="3879" w:type="dxa"/>
          </w:tcPr>
          <w:p w:rsidR="00963919" w:rsidRDefault="00963919" w:rsidP="00440A5C"/>
        </w:tc>
        <w:tc>
          <w:tcPr>
            <w:tcW w:w="3879" w:type="dxa"/>
          </w:tcPr>
          <w:p w:rsidR="00963919" w:rsidRDefault="00963919" w:rsidP="00440A5C"/>
        </w:tc>
      </w:tr>
      <w:tr w:rsidR="00963919" w:rsidTr="009F2365">
        <w:trPr>
          <w:trHeight w:val="3394"/>
        </w:trPr>
        <w:tc>
          <w:tcPr>
            <w:tcW w:w="1818" w:type="dxa"/>
            <w:shd w:val="clear" w:color="auto" w:fill="D9D9D9" w:themeFill="background1" w:themeFillShade="D9"/>
          </w:tcPr>
          <w:p w:rsidR="00963919" w:rsidRPr="009F2365" w:rsidRDefault="009F2365" w:rsidP="009F2365">
            <w:pPr>
              <w:jc w:val="center"/>
              <w:rPr>
                <w:b/>
              </w:rPr>
            </w:pPr>
            <w:r w:rsidRPr="009F2365">
              <w:rPr>
                <w:b/>
              </w:rPr>
              <w:t>Act III</w:t>
            </w:r>
          </w:p>
          <w:p w:rsidR="009F2365" w:rsidRDefault="009F2365" w:rsidP="00440A5C"/>
          <w:p w:rsidR="009F2365" w:rsidRDefault="009F2365" w:rsidP="00440A5C"/>
          <w:p w:rsidR="009F2365" w:rsidRPr="009F2365" w:rsidRDefault="009F2365" w:rsidP="00440A5C">
            <w:pPr>
              <w:rPr>
                <w:sz w:val="16"/>
                <w:szCs w:val="16"/>
              </w:rPr>
            </w:pPr>
            <w:r w:rsidRPr="009F2365">
              <w:rPr>
                <w:sz w:val="16"/>
                <w:szCs w:val="16"/>
              </w:rPr>
              <w:t>Stage 5-Final Push</w:t>
            </w:r>
          </w:p>
          <w:p w:rsidR="009F2365" w:rsidRPr="009F2365" w:rsidRDefault="009F2365" w:rsidP="00440A5C">
            <w:pPr>
              <w:rPr>
                <w:sz w:val="16"/>
                <w:szCs w:val="16"/>
              </w:rPr>
            </w:pPr>
            <w:r w:rsidRPr="009F2365">
              <w:rPr>
                <w:sz w:val="16"/>
                <w:szCs w:val="16"/>
              </w:rPr>
              <w:t>Stage 6-Aftermath</w:t>
            </w:r>
          </w:p>
          <w:p w:rsidR="009F2365" w:rsidRPr="009F2365" w:rsidRDefault="009F2365" w:rsidP="00440A5C">
            <w:pPr>
              <w:rPr>
                <w:sz w:val="16"/>
                <w:szCs w:val="16"/>
              </w:rPr>
            </w:pPr>
          </w:p>
          <w:p w:rsidR="009F2365" w:rsidRDefault="009F2365" w:rsidP="00440A5C">
            <w:r w:rsidRPr="009F2365">
              <w:rPr>
                <w:sz w:val="16"/>
                <w:szCs w:val="16"/>
              </w:rPr>
              <w:t>TP #5-Climax</w:t>
            </w:r>
          </w:p>
        </w:tc>
        <w:tc>
          <w:tcPr>
            <w:tcW w:w="3879" w:type="dxa"/>
          </w:tcPr>
          <w:p w:rsidR="00963919" w:rsidRDefault="00963919" w:rsidP="00440A5C"/>
        </w:tc>
        <w:tc>
          <w:tcPr>
            <w:tcW w:w="3879" w:type="dxa"/>
          </w:tcPr>
          <w:p w:rsidR="00963919" w:rsidRDefault="00963919" w:rsidP="00440A5C"/>
        </w:tc>
      </w:tr>
    </w:tbl>
    <w:p w:rsidR="00963919" w:rsidRDefault="00963919" w:rsidP="00440A5C"/>
    <w:sectPr w:rsidR="00963919" w:rsidSect="005761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19" w:rsidRDefault="00963919" w:rsidP="00440A5C">
      <w:pPr>
        <w:spacing w:after="0" w:line="240" w:lineRule="auto"/>
      </w:pPr>
      <w:r>
        <w:separator/>
      </w:r>
    </w:p>
  </w:endnote>
  <w:endnote w:type="continuationSeparator" w:id="0">
    <w:p w:rsidR="00963919" w:rsidRDefault="00963919" w:rsidP="004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19" w:rsidRDefault="00963919" w:rsidP="00440A5C">
      <w:pPr>
        <w:spacing w:after="0" w:line="240" w:lineRule="auto"/>
      </w:pPr>
      <w:r>
        <w:separator/>
      </w:r>
    </w:p>
  </w:footnote>
  <w:footnote w:type="continuationSeparator" w:id="0">
    <w:p w:rsidR="00963919" w:rsidRDefault="00963919" w:rsidP="0044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664F87E42D4305B46C42D76438D7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63919" w:rsidRDefault="009639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Literary Analysis of Film</w:t>
        </w:r>
      </w:p>
    </w:sdtContent>
  </w:sdt>
  <w:p w:rsidR="00963919" w:rsidRDefault="00963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B0D"/>
    <w:multiLevelType w:val="hybridMultilevel"/>
    <w:tmpl w:val="62A264BC"/>
    <w:lvl w:ilvl="0" w:tplc="3EE68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1449"/>
    <w:multiLevelType w:val="hybridMultilevel"/>
    <w:tmpl w:val="5E32FFAC"/>
    <w:lvl w:ilvl="0" w:tplc="4BF43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A5C"/>
    <w:rsid w:val="001347B1"/>
    <w:rsid w:val="00440A5C"/>
    <w:rsid w:val="005761A2"/>
    <w:rsid w:val="00631D34"/>
    <w:rsid w:val="00963919"/>
    <w:rsid w:val="009F2365"/>
    <w:rsid w:val="00E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5C"/>
  </w:style>
  <w:style w:type="paragraph" w:styleId="Footer">
    <w:name w:val="footer"/>
    <w:basedOn w:val="Normal"/>
    <w:link w:val="FooterChar"/>
    <w:uiPriority w:val="99"/>
    <w:semiHidden/>
    <w:unhideWhenUsed/>
    <w:rsid w:val="0044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A5C"/>
  </w:style>
  <w:style w:type="paragraph" w:styleId="BalloonText">
    <w:name w:val="Balloon Text"/>
    <w:basedOn w:val="Normal"/>
    <w:link w:val="BalloonTextChar"/>
    <w:uiPriority w:val="99"/>
    <w:semiHidden/>
    <w:unhideWhenUsed/>
    <w:rsid w:val="004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5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0A5C"/>
    <w:rPr>
      <w:b/>
      <w:bCs/>
    </w:rPr>
  </w:style>
  <w:style w:type="table" w:styleId="TableGrid">
    <w:name w:val="Table Grid"/>
    <w:basedOn w:val="TableNormal"/>
    <w:uiPriority w:val="59"/>
    <w:rsid w:val="0096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664F87E42D4305B46C42D76438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F678-148D-4EE0-ABEA-B6E7C28D2D9D}"/>
      </w:docPartPr>
      <w:docPartBody>
        <w:p w:rsidR="00F178DE" w:rsidRDefault="00AC4EFC" w:rsidP="00AC4EFC">
          <w:pPr>
            <w:pStyle w:val="A0664F87E42D4305B46C42D76438D7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4EFC"/>
    <w:rsid w:val="008A1687"/>
    <w:rsid w:val="00AC4EFC"/>
    <w:rsid w:val="00F1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64F87E42D4305B46C42D76438D7A1">
    <w:name w:val="A0664F87E42D4305B46C42D76438D7A1"/>
    <w:rsid w:val="00AC4E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Analysis of Film</vt:lpstr>
    </vt:vector>
  </TitlesOfParts>
  <Company>Kittatinny Regional High School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of Film</dc:title>
  <dc:subject/>
  <dc:creator>CTRYDE</dc:creator>
  <cp:keywords/>
  <dc:description/>
  <cp:lastModifiedBy>CTRYDE</cp:lastModifiedBy>
  <cp:revision>3</cp:revision>
  <dcterms:created xsi:type="dcterms:W3CDTF">2013-01-10T15:04:00Z</dcterms:created>
  <dcterms:modified xsi:type="dcterms:W3CDTF">2013-01-11T13:17:00Z</dcterms:modified>
</cp:coreProperties>
</file>